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铥激光治疗仪论证</w:t>
      </w:r>
      <w:r>
        <w:rPr>
          <w:rFonts w:hint="eastAsia"/>
          <w:b/>
          <w:bCs/>
          <w:sz w:val="32"/>
          <w:szCs w:val="40"/>
          <w:lang w:eastAsia="zh-CN"/>
        </w:rPr>
        <w:t>参数</w:t>
      </w:r>
      <w:r>
        <w:rPr>
          <w:rFonts w:hint="eastAsia"/>
          <w:b/>
          <w:bCs/>
          <w:sz w:val="32"/>
          <w:szCs w:val="40"/>
          <w:lang w:val="en-US" w:eastAsia="zh-CN"/>
        </w:rPr>
        <w:t>要求</w:t>
      </w:r>
    </w:p>
    <w:p w14:paraId="316AE8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1．所投设备的注册证含治疗光纤（提供所投产品的医疗器械注册证）</w:t>
      </w:r>
    </w:p>
    <w:p w14:paraId="1D309D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2．具有脉冲串输出模式，实现原位碎石，缩短手术时间</w:t>
      </w:r>
    </w:p>
    <w:p w14:paraId="7F8C26D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3．软组织切割模式中具有脉冲输出和连续输出。</w:t>
      </w:r>
    </w:p>
    <w:p w14:paraId="447FF3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4．软组织切割模式：脉冲输出的脉冲宽度可调</w:t>
      </w:r>
    </w:p>
    <w:p w14:paraId="54FB9D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5．脚踏控制的最大止血功率≥40W，可以满足不同的治疗需求</w:t>
      </w:r>
    </w:p>
    <w:p w14:paraId="0C324C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6．工作激光输出波长：≥1900nm</w:t>
      </w:r>
    </w:p>
    <w:p w14:paraId="7D37F1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7．冷却系统：风冷，无压缩机及水路制冷，噪音低，环保节能</w:t>
      </w:r>
    </w:p>
    <w:p w14:paraId="5829F8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8．可调输出功率范围：6～40W（提供治疗机警示标签佐证，并加盖厂家鲜章）</w:t>
      </w:r>
    </w:p>
    <w:p w14:paraId="6123EF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9．脉冲宽度可调范围：200μs～30000us（提供国家食品药品监督管理局下属检验机构出具的检验报告）</w:t>
      </w:r>
    </w:p>
    <w:p w14:paraId="54D380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10．最大脉冲宽度：≤30000us（提供国家食品药品监督管理局下属检验机构出具的检验报告）</w:t>
      </w:r>
    </w:p>
    <w:p w14:paraId="76FFF3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11．最高脉冲频率：≥1200Hz可调</w:t>
      </w:r>
    </w:p>
    <w:p w14:paraId="26255F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12．最小单脉冲能量：≤0.1J（提供产品说明书及治疗机显示屏截图佐证）</w:t>
      </w:r>
    </w:p>
    <w:p w14:paraId="39E1FF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13．最大单脉冲能量：≥5J</w:t>
      </w:r>
    </w:p>
    <w:p w14:paraId="2F01DA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14．具有控制能量稳定功能，使激光能量输出不稳定度：≤±5％</w:t>
      </w:r>
    </w:p>
    <w:p w14:paraId="0A427B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left="334" w:leftChars="142" w:hanging="36" w:hangingChars="13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15．具有控制能量稳定功能，使激光输出功率的复现性：≤±5％</w:t>
      </w:r>
    </w:p>
    <w:p w14:paraId="42DA49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left="334" w:leftChars="142" w:hanging="36" w:hangingChars="13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16.设备注册内传输系统须包含芯径为200μm、272μm、365μm、550μm等4种以上规格光纤（提供所投产品的医疗器械注册证）</w:t>
      </w:r>
    </w:p>
    <w:p w14:paraId="718685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17．激光原厂传输光纤有可重复使用光纤和一次性光纤可选，并在省平台挂网（提供所投产品的医疗器械注册证及一次性光纤的挂网截图佐证）</w:t>
      </w:r>
    </w:p>
    <w:p w14:paraId="73130A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18．搭配</w:t>
      </w:r>
      <w:r>
        <w:rPr>
          <w:rFonts w:hint="default" w:ascii="Arial" w:hAnsi="Arial" w:eastAsia="宋体" w:cs="Arial"/>
          <w:color w:val="000000"/>
          <w:sz w:val="28"/>
          <w:szCs w:val="22"/>
          <w:lang w:val="en-US" w:eastAsia="zh-CN"/>
        </w:rPr>
        <w:t>≥</w:t>
      </w: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150μm光纤末端最大输出功率≥40W（提供国家食品药品监督管理局下属检验机构出具的检验报告）</w:t>
      </w:r>
    </w:p>
    <w:p w14:paraId="7A8F39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default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28"/>
          <w:szCs w:val="22"/>
          <w:lang w:val="en-US" w:eastAsia="zh-CN"/>
        </w:rPr>
        <w:t>20．具有光纤破损自动识别保护报警功能</w:t>
      </w:r>
      <w:bookmarkStart w:id="0" w:name="_GoBack"/>
      <w:bookmarkEnd w:id="0"/>
    </w:p>
    <w:sectPr>
      <w:pgSz w:w="11906" w:h="16838"/>
      <w:pgMar w:top="1157" w:right="1800" w:bottom="115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1121891"/>
    <w:rsid w:val="013E61E2"/>
    <w:rsid w:val="08236132"/>
    <w:rsid w:val="09371E95"/>
    <w:rsid w:val="0C9F66CF"/>
    <w:rsid w:val="10A36062"/>
    <w:rsid w:val="125A4E46"/>
    <w:rsid w:val="13165211"/>
    <w:rsid w:val="13E752E3"/>
    <w:rsid w:val="14636234"/>
    <w:rsid w:val="155F515F"/>
    <w:rsid w:val="16092E0B"/>
    <w:rsid w:val="1656054B"/>
    <w:rsid w:val="191A034A"/>
    <w:rsid w:val="1B7725C5"/>
    <w:rsid w:val="1D102896"/>
    <w:rsid w:val="1EB8772A"/>
    <w:rsid w:val="1F63358C"/>
    <w:rsid w:val="1FDA278B"/>
    <w:rsid w:val="20D858B3"/>
    <w:rsid w:val="215B0293"/>
    <w:rsid w:val="22723AE6"/>
    <w:rsid w:val="26325A66"/>
    <w:rsid w:val="297606E4"/>
    <w:rsid w:val="29DF5F05"/>
    <w:rsid w:val="2A6F54DA"/>
    <w:rsid w:val="2CEE645F"/>
    <w:rsid w:val="30E06312"/>
    <w:rsid w:val="31071D7F"/>
    <w:rsid w:val="31FB42D0"/>
    <w:rsid w:val="33CD0772"/>
    <w:rsid w:val="35BA15D4"/>
    <w:rsid w:val="3821593A"/>
    <w:rsid w:val="38D01885"/>
    <w:rsid w:val="3DF75D0E"/>
    <w:rsid w:val="3EC55271"/>
    <w:rsid w:val="3FF663F6"/>
    <w:rsid w:val="40646D0C"/>
    <w:rsid w:val="40A435AC"/>
    <w:rsid w:val="41D606F3"/>
    <w:rsid w:val="41DC585E"/>
    <w:rsid w:val="42CF2B62"/>
    <w:rsid w:val="43EF2D90"/>
    <w:rsid w:val="45294080"/>
    <w:rsid w:val="45C55239"/>
    <w:rsid w:val="49F36350"/>
    <w:rsid w:val="4B5C0D0B"/>
    <w:rsid w:val="4CF907DC"/>
    <w:rsid w:val="4EB42C0C"/>
    <w:rsid w:val="4F580206"/>
    <w:rsid w:val="512C73D2"/>
    <w:rsid w:val="52B90379"/>
    <w:rsid w:val="52DB2E5E"/>
    <w:rsid w:val="53B92A73"/>
    <w:rsid w:val="56332FB1"/>
    <w:rsid w:val="57A53A3A"/>
    <w:rsid w:val="57CD4D3F"/>
    <w:rsid w:val="57D460CD"/>
    <w:rsid w:val="59E92304"/>
    <w:rsid w:val="5C921A7A"/>
    <w:rsid w:val="5E745F14"/>
    <w:rsid w:val="5E7C4BC4"/>
    <w:rsid w:val="5F7975F7"/>
    <w:rsid w:val="5FC22C67"/>
    <w:rsid w:val="61AD3C17"/>
    <w:rsid w:val="63BC6393"/>
    <w:rsid w:val="643F0D73"/>
    <w:rsid w:val="67A25967"/>
    <w:rsid w:val="6AC02C0D"/>
    <w:rsid w:val="6BAE6F0A"/>
    <w:rsid w:val="6E3B25AB"/>
    <w:rsid w:val="6EBC36EB"/>
    <w:rsid w:val="71357785"/>
    <w:rsid w:val="728C2C51"/>
    <w:rsid w:val="75F55735"/>
    <w:rsid w:val="77AD62C7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584</Words>
  <Characters>652</Characters>
  <Lines>0</Lines>
  <Paragraphs>0</Paragraphs>
  <TotalTime>5</TotalTime>
  <ScaleCrop>false</ScaleCrop>
  <LinksUpToDate>false</LinksUpToDate>
  <CharactersWithSpaces>652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2025-06-19T02:10:37Z</cp:lastPrinted>
  <dcterms:modified xsi:type="dcterms:W3CDTF">2025-06-19T02:10:40Z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